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94" w:rsidRPr="006C5EC2" w:rsidRDefault="00164DFE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6C5EC2">
        <w:rPr>
          <w:rFonts w:ascii="Times New Roman" w:hAnsi="Times New Roman" w:cs="Times New Roman"/>
          <w:sz w:val="24"/>
          <w:lang w:val="uk-UA"/>
        </w:rPr>
        <w:t>Додаток №2</w:t>
      </w:r>
    </w:p>
    <w:p w:rsidR="00321F94" w:rsidRPr="006C5EC2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6C5EC2">
        <w:rPr>
          <w:rFonts w:ascii="Times New Roman" w:hAnsi="Times New Roman" w:cs="Times New Roman"/>
          <w:sz w:val="24"/>
          <w:lang w:val="uk-UA"/>
        </w:rPr>
        <w:t xml:space="preserve">до Антикорупційної програми </w:t>
      </w:r>
    </w:p>
    <w:p w:rsidR="00321F94" w:rsidRPr="006C5EC2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6C5EC2">
        <w:rPr>
          <w:rFonts w:ascii="Times New Roman" w:hAnsi="Times New Roman" w:cs="Times New Roman"/>
          <w:sz w:val="24"/>
          <w:lang w:val="uk-UA"/>
        </w:rPr>
        <w:t xml:space="preserve">Ніжинської міської об'єднаної </w:t>
      </w:r>
    </w:p>
    <w:p w:rsidR="00321F94" w:rsidRPr="006C5EC2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6C5EC2">
        <w:rPr>
          <w:rFonts w:ascii="Times New Roman" w:hAnsi="Times New Roman" w:cs="Times New Roman"/>
          <w:sz w:val="24"/>
          <w:lang w:val="uk-UA"/>
        </w:rPr>
        <w:t xml:space="preserve">територіальної громади </w:t>
      </w:r>
    </w:p>
    <w:p w:rsidR="001A5790" w:rsidRPr="006C5EC2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6C5EC2">
        <w:rPr>
          <w:rFonts w:ascii="Times New Roman" w:hAnsi="Times New Roman" w:cs="Times New Roman"/>
          <w:sz w:val="24"/>
          <w:lang w:val="uk-UA"/>
        </w:rPr>
        <w:t>на 2020-2023 роки</w:t>
      </w:r>
    </w:p>
    <w:p w:rsidR="00F611E6" w:rsidRPr="006C5EC2" w:rsidRDefault="00F611E6" w:rsidP="00F611E6">
      <w:pPr>
        <w:pStyle w:val="a3"/>
        <w:jc w:val="both"/>
        <w:rPr>
          <w:rFonts w:ascii="Times New Roman" w:hAnsi="Times New Roman" w:cs="Times New Roman"/>
          <w:sz w:val="24"/>
          <w:lang w:val="uk-UA"/>
        </w:rPr>
      </w:pPr>
    </w:p>
    <w:p w:rsidR="00321F94" w:rsidRPr="006C5EC2" w:rsidRDefault="00164DFE" w:rsidP="008263CD">
      <w:pPr>
        <w:pStyle w:val="a3"/>
        <w:jc w:val="center"/>
        <w:rPr>
          <w:rFonts w:ascii="Times New Roman" w:hAnsi="Times New Roman" w:cs="Times New Roman"/>
          <w:sz w:val="24"/>
          <w:lang w:val="uk-UA"/>
        </w:rPr>
      </w:pPr>
      <w:r w:rsidRPr="006C5EC2">
        <w:rPr>
          <w:rFonts w:ascii="Times New Roman" w:hAnsi="Times New Roman" w:cs="Times New Roman"/>
          <w:sz w:val="24"/>
          <w:lang w:val="uk-UA"/>
        </w:rPr>
        <w:t>Навчальні заходи та заходи з поширення інформації щодо програм антикорупційного спрямування</w:t>
      </w:r>
    </w:p>
    <w:p w:rsidR="00321F94" w:rsidRPr="006C5EC2" w:rsidRDefault="00321F94" w:rsidP="00F611E6">
      <w:pPr>
        <w:pStyle w:val="a3"/>
        <w:jc w:val="both"/>
        <w:rPr>
          <w:rFonts w:ascii="Times New Roman" w:hAnsi="Times New Roman" w:cs="Times New Roman"/>
          <w:lang w:val="uk-UA"/>
        </w:rPr>
      </w:pPr>
    </w:p>
    <w:tbl>
      <w:tblPr>
        <w:tblStyle w:val="a4"/>
        <w:tblW w:w="10740" w:type="dxa"/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2126"/>
        <w:gridCol w:w="1985"/>
        <w:gridCol w:w="1701"/>
      </w:tblGrid>
      <w:tr w:rsidR="00164DFE" w:rsidRPr="006C5EC2" w:rsidTr="008263CD">
        <w:tc>
          <w:tcPr>
            <w:tcW w:w="3510" w:type="dxa"/>
          </w:tcPr>
          <w:p w:rsidR="00164DFE" w:rsidRPr="008263CD" w:rsidRDefault="00164DFE" w:rsidP="008263CD">
            <w:pPr>
              <w:pStyle w:val="Default"/>
              <w:jc w:val="center"/>
              <w:rPr>
                <w:b/>
                <w:sz w:val="22"/>
                <w:szCs w:val="22"/>
                <w:lang w:val="uk-UA"/>
              </w:rPr>
            </w:pPr>
            <w:r w:rsidRPr="008263CD">
              <w:rPr>
                <w:b/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1418" w:type="dxa"/>
          </w:tcPr>
          <w:p w:rsidR="00164DFE" w:rsidRPr="008263CD" w:rsidRDefault="00164DFE" w:rsidP="008263CD">
            <w:pPr>
              <w:pStyle w:val="Default"/>
              <w:jc w:val="center"/>
              <w:rPr>
                <w:b/>
                <w:sz w:val="22"/>
                <w:szCs w:val="22"/>
                <w:lang w:val="uk-UA"/>
              </w:rPr>
            </w:pPr>
            <w:r w:rsidRPr="008263CD">
              <w:rPr>
                <w:b/>
                <w:sz w:val="22"/>
                <w:szCs w:val="22"/>
                <w:lang w:val="uk-UA"/>
              </w:rPr>
              <w:t>Строк виконання</w:t>
            </w:r>
          </w:p>
        </w:tc>
        <w:tc>
          <w:tcPr>
            <w:tcW w:w="2126" w:type="dxa"/>
          </w:tcPr>
          <w:p w:rsidR="00164DFE" w:rsidRPr="008263CD" w:rsidRDefault="00164DFE" w:rsidP="008263CD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263CD">
              <w:rPr>
                <w:rFonts w:ascii="Times New Roman" w:hAnsi="Times New Roman" w:cs="Times New Roman"/>
                <w:b/>
                <w:lang w:val="uk-UA"/>
              </w:rPr>
              <w:t>Відповідальні за виконання</w:t>
            </w:r>
          </w:p>
        </w:tc>
        <w:tc>
          <w:tcPr>
            <w:tcW w:w="1985" w:type="dxa"/>
          </w:tcPr>
          <w:p w:rsidR="00164DFE" w:rsidRPr="008263CD" w:rsidRDefault="00164DFE" w:rsidP="008263CD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263CD">
              <w:rPr>
                <w:rFonts w:ascii="Times New Roman" w:hAnsi="Times New Roman" w:cs="Times New Roman"/>
                <w:b/>
                <w:lang w:val="uk-UA"/>
              </w:rPr>
              <w:t>Індикатор виконання</w:t>
            </w:r>
          </w:p>
        </w:tc>
        <w:tc>
          <w:tcPr>
            <w:tcW w:w="1701" w:type="dxa"/>
          </w:tcPr>
          <w:p w:rsidR="00164DFE" w:rsidRPr="008263CD" w:rsidRDefault="00164DFE" w:rsidP="008263CD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263CD">
              <w:rPr>
                <w:rFonts w:ascii="Times New Roman" w:hAnsi="Times New Roman" w:cs="Times New Roman"/>
                <w:b/>
                <w:lang w:val="uk-UA"/>
              </w:rPr>
              <w:t>Джерела фінансування</w:t>
            </w:r>
          </w:p>
        </w:tc>
      </w:tr>
      <w:tr w:rsidR="00164DFE" w:rsidRPr="006C5EC2" w:rsidTr="008263CD">
        <w:tc>
          <w:tcPr>
            <w:tcW w:w="3510" w:type="dxa"/>
          </w:tcPr>
          <w:p w:rsidR="00164DFE" w:rsidRPr="006C5EC2" w:rsidRDefault="00EF30AE" w:rsidP="0012713B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 xml:space="preserve">1. </w:t>
            </w:r>
            <w:r w:rsidR="0012713B" w:rsidRPr="006C5EC2">
              <w:rPr>
                <w:sz w:val="22"/>
                <w:szCs w:val="22"/>
                <w:lang w:val="uk-UA"/>
              </w:rPr>
              <w:t>Розміщення інформаційних матеріалів щодо запобігання корупції</w:t>
            </w:r>
            <w:r w:rsidR="00725FD1" w:rsidRPr="006C5EC2">
              <w:rPr>
                <w:sz w:val="22"/>
                <w:szCs w:val="22"/>
                <w:lang w:val="uk-UA"/>
              </w:rPr>
              <w:t xml:space="preserve">, повідомлень про зміни в антикорупційному законодавстві </w:t>
            </w:r>
            <w:r w:rsidR="0012713B" w:rsidRPr="006C5EC2">
              <w:rPr>
                <w:sz w:val="22"/>
                <w:szCs w:val="22"/>
                <w:lang w:val="uk-UA"/>
              </w:rPr>
              <w:t>на офіційному веб-сайті Ніжинської міської ради у розділі «Запобігання корупції».</w:t>
            </w:r>
          </w:p>
        </w:tc>
        <w:tc>
          <w:tcPr>
            <w:tcW w:w="1418" w:type="dxa"/>
          </w:tcPr>
          <w:p w:rsidR="00164DFE" w:rsidRPr="006C5EC2" w:rsidRDefault="0012713B" w:rsidP="00072A00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6C5EC2">
              <w:rPr>
                <w:sz w:val="22"/>
                <w:lang w:val="uk-UA"/>
              </w:rPr>
              <w:t>Протягом строку дії Програми</w:t>
            </w:r>
          </w:p>
        </w:tc>
        <w:tc>
          <w:tcPr>
            <w:tcW w:w="2126" w:type="dxa"/>
          </w:tcPr>
          <w:p w:rsidR="00164DFE" w:rsidRPr="006C5EC2" w:rsidRDefault="0012713B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</w:t>
            </w:r>
            <w:r w:rsidR="00E5724C" w:rsidRPr="006C5EC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E5724C" w:rsidRPr="006C5EC2" w:rsidRDefault="00E5724C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Style w:val="a9"/>
                <w:rFonts w:ascii="Times New Roman" w:hAnsi="Times New Roman" w:cs="Times New Roman"/>
                <w:b w:val="0"/>
                <w:lang w:val="uk-UA"/>
              </w:rPr>
              <w:t>відділ інформаційно-аналітичної роботи та комунікацій з громадськістю</w:t>
            </w:r>
          </w:p>
        </w:tc>
        <w:tc>
          <w:tcPr>
            <w:tcW w:w="1985" w:type="dxa"/>
          </w:tcPr>
          <w:p w:rsidR="00164DFE" w:rsidRPr="006C5EC2" w:rsidRDefault="00E5724C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Fonts w:ascii="Times New Roman" w:hAnsi="Times New Roman" w:cs="Times New Roman"/>
                <w:lang w:val="uk-UA"/>
              </w:rPr>
              <w:t>Розміщено</w:t>
            </w:r>
          </w:p>
          <w:p w:rsidR="00E5724C" w:rsidRPr="006C5EC2" w:rsidRDefault="00E5724C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724C" w:rsidRPr="006C5EC2" w:rsidRDefault="00E5724C" w:rsidP="00E5724C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 xml:space="preserve">Мінімізація шансу виникнення корупційного правопорушення </w:t>
            </w:r>
          </w:p>
        </w:tc>
        <w:tc>
          <w:tcPr>
            <w:tcW w:w="1701" w:type="dxa"/>
          </w:tcPr>
          <w:p w:rsidR="00164DFE" w:rsidRPr="006C5EC2" w:rsidRDefault="00E5724C" w:rsidP="00725B02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 xml:space="preserve">Не потребує фінансування </w:t>
            </w:r>
          </w:p>
        </w:tc>
      </w:tr>
      <w:tr w:rsidR="0012713B" w:rsidRPr="006C5EC2" w:rsidTr="008263CD">
        <w:tc>
          <w:tcPr>
            <w:tcW w:w="3510" w:type="dxa"/>
          </w:tcPr>
          <w:p w:rsidR="0012713B" w:rsidRPr="006C5EC2" w:rsidRDefault="00725B02" w:rsidP="008263CD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>2. Проведення індивідуального навчання для вперше прийнятих на службу до виконавчого Комітету Ніжинської міської ради, її апарату з метою ознайомлення із основними положеннями антикорупційного законодавства України, Антикорупційної програми Ніжинської міської ОТГ</w:t>
            </w:r>
            <w:r w:rsidR="008263C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8" w:type="dxa"/>
          </w:tcPr>
          <w:p w:rsidR="0012713B" w:rsidRPr="006C5EC2" w:rsidRDefault="00725B02" w:rsidP="00072A00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6C5EC2">
              <w:rPr>
                <w:sz w:val="22"/>
                <w:lang w:val="uk-UA"/>
              </w:rPr>
              <w:t>Протягом строку дії Програми</w:t>
            </w:r>
          </w:p>
        </w:tc>
        <w:tc>
          <w:tcPr>
            <w:tcW w:w="2126" w:type="dxa"/>
          </w:tcPr>
          <w:p w:rsidR="0012713B" w:rsidRPr="006C5EC2" w:rsidRDefault="00725B02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</w:t>
            </w:r>
          </w:p>
        </w:tc>
        <w:tc>
          <w:tcPr>
            <w:tcW w:w="1985" w:type="dxa"/>
          </w:tcPr>
          <w:p w:rsidR="0012713B" w:rsidRPr="006C5EC2" w:rsidRDefault="00725B02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12713B" w:rsidRPr="006C5EC2" w:rsidRDefault="00725B02" w:rsidP="00725B02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 xml:space="preserve">Не потребує фінансування </w:t>
            </w:r>
          </w:p>
        </w:tc>
      </w:tr>
      <w:tr w:rsidR="0095706E" w:rsidRPr="006C5EC2" w:rsidTr="008263CD">
        <w:tc>
          <w:tcPr>
            <w:tcW w:w="3510" w:type="dxa"/>
          </w:tcPr>
          <w:p w:rsidR="0095706E" w:rsidRPr="006C5EC2" w:rsidRDefault="0095706E" w:rsidP="00A938BB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>3. Повідомлення про початок чергового етапу подання суб’єктами декларування щорічних електронних декларацій</w:t>
            </w:r>
            <w:r w:rsidR="00A938BB" w:rsidRPr="006C5EC2">
              <w:rPr>
                <w:sz w:val="22"/>
                <w:szCs w:val="22"/>
                <w:lang w:val="uk-UA"/>
              </w:rPr>
              <w:t>, п</w:t>
            </w:r>
            <w:r w:rsidRPr="006C5EC2">
              <w:rPr>
                <w:sz w:val="22"/>
                <w:szCs w:val="22"/>
                <w:lang w:val="uk-UA"/>
              </w:rPr>
              <w:t xml:space="preserve">роведення для </w:t>
            </w:r>
            <w:r w:rsidR="00A938BB" w:rsidRPr="006C5EC2">
              <w:rPr>
                <w:sz w:val="22"/>
                <w:szCs w:val="22"/>
                <w:lang w:val="uk-UA"/>
              </w:rPr>
              <w:t xml:space="preserve">посадових осіб виконавчого комітету Ніжинської міської ради, його апарату, виконавчих органів Ніжинської міської ради, </w:t>
            </w:r>
            <w:r w:rsidRPr="006C5EC2">
              <w:rPr>
                <w:sz w:val="22"/>
                <w:szCs w:val="22"/>
                <w:lang w:val="uk-UA"/>
              </w:rPr>
              <w:t xml:space="preserve">депутатів </w:t>
            </w:r>
            <w:r w:rsidR="00A938BB" w:rsidRPr="006C5EC2">
              <w:rPr>
                <w:sz w:val="22"/>
                <w:szCs w:val="22"/>
                <w:lang w:val="uk-UA"/>
              </w:rPr>
              <w:t>Ніжинської міської</w:t>
            </w:r>
            <w:r w:rsidRPr="006C5EC2">
              <w:rPr>
                <w:sz w:val="22"/>
                <w:szCs w:val="22"/>
                <w:lang w:val="uk-UA"/>
              </w:rPr>
              <w:t xml:space="preserve"> ради</w:t>
            </w:r>
            <w:r w:rsidR="00A938BB" w:rsidRPr="006C5EC2">
              <w:rPr>
                <w:sz w:val="22"/>
                <w:szCs w:val="22"/>
                <w:lang w:val="uk-UA"/>
              </w:rPr>
              <w:t xml:space="preserve"> </w:t>
            </w:r>
            <w:r w:rsidRPr="006C5EC2">
              <w:rPr>
                <w:sz w:val="22"/>
                <w:szCs w:val="22"/>
                <w:lang w:val="uk-UA"/>
              </w:rPr>
              <w:t>навчання на тему «</w:t>
            </w:r>
            <w:r w:rsidR="00A938BB" w:rsidRPr="006C5EC2">
              <w:rPr>
                <w:sz w:val="22"/>
                <w:szCs w:val="22"/>
                <w:lang w:val="uk-UA"/>
              </w:rPr>
              <w:t>Декларуй доброчесно</w:t>
            </w:r>
            <w:r w:rsidR="008263CD">
              <w:rPr>
                <w:sz w:val="22"/>
                <w:szCs w:val="22"/>
                <w:lang w:val="uk-UA"/>
              </w:rPr>
              <w:t>».</w:t>
            </w:r>
          </w:p>
        </w:tc>
        <w:tc>
          <w:tcPr>
            <w:tcW w:w="1418" w:type="dxa"/>
          </w:tcPr>
          <w:p w:rsidR="0095706E" w:rsidRPr="006C5EC2" w:rsidRDefault="0095706E" w:rsidP="00AE46A9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6C5EC2">
              <w:rPr>
                <w:sz w:val="22"/>
                <w:szCs w:val="22"/>
              </w:rPr>
              <w:t>І квартал 2020 року</w:t>
            </w:r>
            <w:r w:rsidR="00A938BB" w:rsidRPr="006C5EC2">
              <w:rPr>
                <w:sz w:val="22"/>
                <w:szCs w:val="22"/>
                <w:lang w:val="uk-UA"/>
              </w:rPr>
              <w:t>,</w:t>
            </w:r>
          </w:p>
          <w:p w:rsidR="0095706E" w:rsidRPr="006C5EC2" w:rsidRDefault="00A938BB" w:rsidP="00A938BB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>2021 року, 2022 року, 2023 року</w:t>
            </w:r>
          </w:p>
        </w:tc>
        <w:tc>
          <w:tcPr>
            <w:tcW w:w="2126" w:type="dxa"/>
          </w:tcPr>
          <w:p w:rsidR="0095706E" w:rsidRPr="006C5EC2" w:rsidRDefault="00216ED0" w:rsidP="00AE46A9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</w:t>
            </w:r>
          </w:p>
        </w:tc>
        <w:tc>
          <w:tcPr>
            <w:tcW w:w="1985" w:type="dxa"/>
          </w:tcPr>
          <w:p w:rsidR="0095706E" w:rsidRPr="006C5EC2" w:rsidRDefault="0095706E" w:rsidP="00216ED0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95706E" w:rsidRPr="006C5EC2" w:rsidRDefault="0095706E" w:rsidP="00216ED0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 xml:space="preserve">Не потребує фінансування </w:t>
            </w:r>
          </w:p>
        </w:tc>
      </w:tr>
      <w:tr w:rsidR="00216ED0" w:rsidRPr="006C5EC2" w:rsidTr="008263CD">
        <w:tc>
          <w:tcPr>
            <w:tcW w:w="3510" w:type="dxa"/>
          </w:tcPr>
          <w:p w:rsidR="00216ED0" w:rsidRPr="006C5EC2" w:rsidRDefault="00216ED0" w:rsidP="00216ED0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>4. Проведення для посадових осіб виконавчого комітету Ніжинської міської ради, його апарату, виконавчих органів Ніжинської міської ради, депутатів Ніжинської міської ради навчання на тему «Конфлікт інтересів: від теорії до практики»</w:t>
            </w:r>
            <w:r w:rsidR="008263C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8" w:type="dxa"/>
          </w:tcPr>
          <w:p w:rsidR="00216ED0" w:rsidRPr="006C5EC2" w:rsidRDefault="00216ED0" w:rsidP="00072A00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216ED0" w:rsidRPr="006C5EC2" w:rsidRDefault="00216ED0" w:rsidP="001F7935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</w:t>
            </w:r>
          </w:p>
        </w:tc>
        <w:tc>
          <w:tcPr>
            <w:tcW w:w="1985" w:type="dxa"/>
          </w:tcPr>
          <w:p w:rsidR="00216ED0" w:rsidRPr="006C5EC2" w:rsidRDefault="00216ED0" w:rsidP="001F7935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216ED0" w:rsidRPr="006C5EC2" w:rsidRDefault="00216ED0" w:rsidP="001F7935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 xml:space="preserve">Не потребує фінансування </w:t>
            </w:r>
          </w:p>
        </w:tc>
      </w:tr>
      <w:tr w:rsidR="00C74EBA" w:rsidRPr="006C5EC2" w:rsidTr="008263CD">
        <w:tc>
          <w:tcPr>
            <w:tcW w:w="3510" w:type="dxa"/>
          </w:tcPr>
          <w:p w:rsidR="00C74EBA" w:rsidRPr="006C5EC2" w:rsidRDefault="00C74EBA" w:rsidP="00C74EBA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>5. Проведення для посадових осіб виконавчого комітету Ніжинської міської ради, його апарату, виконавчих органів Ніжинської міської ради навчання на тему «Взаємодія органів місцевого самоврядування з громадськістю»</w:t>
            </w:r>
            <w:r w:rsidR="008263C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8" w:type="dxa"/>
          </w:tcPr>
          <w:p w:rsidR="00C74EBA" w:rsidRPr="006C5EC2" w:rsidRDefault="00C74EBA" w:rsidP="000B6AB6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C74EBA" w:rsidRPr="006C5EC2" w:rsidRDefault="00C74EBA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Style w:val="a9"/>
                <w:rFonts w:ascii="Times New Roman" w:hAnsi="Times New Roman" w:cs="Times New Roman"/>
                <w:b w:val="0"/>
                <w:lang w:val="uk-UA"/>
              </w:rPr>
              <w:t xml:space="preserve">Відділ інформаційно-аналітичної роботи та комунікацій з громадськістю; </w:t>
            </w:r>
            <w:r w:rsidRPr="006C5EC2">
              <w:rPr>
                <w:rFonts w:ascii="Times New Roman" w:hAnsi="Times New Roman" w:cs="Times New Roman"/>
                <w:lang w:val="uk-UA"/>
              </w:rPr>
              <w:t xml:space="preserve">відділ </w:t>
            </w:r>
            <w:hyperlink r:id="rId7" w:history="1">
              <w:r w:rsidRPr="006C5EC2">
                <w:rPr>
                  <w:rFonts w:ascii="Times New Roman" w:hAnsi="Times New Roman" w:cs="Times New Roman"/>
                  <w:lang w:val="uk-UA"/>
                </w:rPr>
                <w:t>з питань діловодства та роботи зі зверненнями громадян</w:t>
              </w:r>
            </w:hyperlink>
          </w:p>
        </w:tc>
        <w:tc>
          <w:tcPr>
            <w:tcW w:w="1985" w:type="dxa"/>
          </w:tcPr>
          <w:p w:rsidR="00C74EBA" w:rsidRPr="006C5EC2" w:rsidRDefault="00C74EBA" w:rsidP="001F7935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C74EBA" w:rsidRPr="006C5EC2" w:rsidRDefault="00C74EBA" w:rsidP="001F7935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 xml:space="preserve">Не потребує фінансування </w:t>
            </w:r>
          </w:p>
        </w:tc>
      </w:tr>
      <w:tr w:rsidR="00F90F4F" w:rsidRPr="006C5EC2" w:rsidTr="008263CD">
        <w:trPr>
          <w:trHeight w:val="53"/>
        </w:trPr>
        <w:tc>
          <w:tcPr>
            <w:tcW w:w="3510" w:type="dxa"/>
          </w:tcPr>
          <w:p w:rsidR="00F90F4F" w:rsidRPr="006C5EC2" w:rsidRDefault="00F90F4F" w:rsidP="00F90F4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Fonts w:ascii="Times New Roman" w:hAnsi="Times New Roman" w:cs="Times New Roman"/>
                <w:lang w:val="uk-UA"/>
              </w:rPr>
              <w:lastRenderedPageBreak/>
              <w:t>6. Проведення для посадових осіб виконавчого комітету Ніжинської міської ради, його апарату, виконавчих органів Ніжинської міської ради навчання на тему «Доступ до публічної інформації»</w:t>
            </w:r>
          </w:p>
        </w:tc>
        <w:tc>
          <w:tcPr>
            <w:tcW w:w="1418" w:type="dxa"/>
          </w:tcPr>
          <w:p w:rsidR="00F90F4F" w:rsidRPr="006C5EC2" w:rsidRDefault="00F90F4F" w:rsidP="000B6AB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F90F4F" w:rsidRPr="006C5EC2" w:rsidRDefault="00F90F4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6C5EC2">
              <w:rPr>
                <w:rFonts w:ascii="Times New Roman" w:hAnsi="Times New Roman" w:cs="Times New Roman"/>
                <w:lang w:val="uk-UA"/>
              </w:rPr>
              <w:t xml:space="preserve">Відділ </w:t>
            </w:r>
            <w:hyperlink r:id="rId8" w:history="1">
              <w:r w:rsidRPr="006C5EC2">
                <w:rPr>
                  <w:rFonts w:ascii="Times New Roman" w:hAnsi="Times New Roman" w:cs="Times New Roman"/>
                  <w:lang w:val="uk-UA"/>
                </w:rPr>
                <w:t>з питань діловодства та роботи зі зверненнями громадян</w:t>
              </w:r>
            </w:hyperlink>
          </w:p>
        </w:tc>
        <w:tc>
          <w:tcPr>
            <w:tcW w:w="1985" w:type="dxa"/>
          </w:tcPr>
          <w:p w:rsidR="00F90F4F" w:rsidRPr="006C5EC2" w:rsidRDefault="00F90F4F" w:rsidP="001F7935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F90F4F" w:rsidRPr="006C5EC2" w:rsidRDefault="00F90F4F" w:rsidP="001F7935">
            <w:pPr>
              <w:pStyle w:val="Default"/>
              <w:jc w:val="both"/>
              <w:rPr>
                <w:lang w:val="uk-UA"/>
              </w:rPr>
            </w:pPr>
            <w:r w:rsidRPr="006C5EC2">
              <w:rPr>
                <w:sz w:val="22"/>
                <w:szCs w:val="22"/>
                <w:lang w:val="uk-UA"/>
              </w:rPr>
              <w:t xml:space="preserve">Не потребує фінансування </w:t>
            </w:r>
          </w:p>
        </w:tc>
      </w:tr>
    </w:tbl>
    <w:p w:rsidR="006C5EC2" w:rsidRPr="006C5EC2" w:rsidRDefault="006C5EC2">
      <w:pPr>
        <w:pStyle w:val="a3"/>
        <w:jc w:val="both"/>
        <w:rPr>
          <w:rFonts w:ascii="Times New Roman" w:hAnsi="Times New Roman" w:cs="Times New Roman"/>
          <w:lang w:val="uk-UA"/>
        </w:rPr>
      </w:pPr>
    </w:p>
    <w:sectPr w:rsidR="006C5EC2" w:rsidRPr="006C5EC2" w:rsidSect="00321F94">
      <w:pgSz w:w="11906" w:h="16838"/>
      <w:pgMar w:top="1134" w:right="851" w:bottom="1134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F3" w:rsidRDefault="008A05F3" w:rsidP="00321F94">
      <w:pPr>
        <w:pStyle w:val="a3"/>
      </w:pPr>
      <w:r>
        <w:separator/>
      </w:r>
    </w:p>
  </w:endnote>
  <w:endnote w:type="continuationSeparator" w:id="0">
    <w:p w:rsidR="008A05F3" w:rsidRDefault="008A05F3" w:rsidP="00321F94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F3" w:rsidRDefault="008A05F3" w:rsidP="00321F94">
      <w:pPr>
        <w:pStyle w:val="a3"/>
      </w:pPr>
      <w:r>
        <w:separator/>
      </w:r>
    </w:p>
  </w:footnote>
  <w:footnote w:type="continuationSeparator" w:id="0">
    <w:p w:rsidR="008A05F3" w:rsidRDefault="008A05F3" w:rsidP="00321F94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11E6"/>
    <w:rsid w:val="00072A00"/>
    <w:rsid w:val="000B6AB6"/>
    <w:rsid w:val="000F7A14"/>
    <w:rsid w:val="0012713B"/>
    <w:rsid w:val="00164DFE"/>
    <w:rsid w:val="00165BC5"/>
    <w:rsid w:val="001A5790"/>
    <w:rsid w:val="001D0629"/>
    <w:rsid w:val="00216ED0"/>
    <w:rsid w:val="002A24FC"/>
    <w:rsid w:val="00321F94"/>
    <w:rsid w:val="0035307F"/>
    <w:rsid w:val="003758BE"/>
    <w:rsid w:val="00436165"/>
    <w:rsid w:val="0045703A"/>
    <w:rsid w:val="005D689D"/>
    <w:rsid w:val="005E1FF5"/>
    <w:rsid w:val="006B43BF"/>
    <w:rsid w:val="006B5BAF"/>
    <w:rsid w:val="006C5EC2"/>
    <w:rsid w:val="007070EC"/>
    <w:rsid w:val="00725B02"/>
    <w:rsid w:val="00725FD1"/>
    <w:rsid w:val="00743933"/>
    <w:rsid w:val="007A2E48"/>
    <w:rsid w:val="008263CD"/>
    <w:rsid w:val="00864543"/>
    <w:rsid w:val="008A05F3"/>
    <w:rsid w:val="00904803"/>
    <w:rsid w:val="00946756"/>
    <w:rsid w:val="00956F5F"/>
    <w:rsid w:val="0095706E"/>
    <w:rsid w:val="009816C0"/>
    <w:rsid w:val="00A56482"/>
    <w:rsid w:val="00A938BB"/>
    <w:rsid w:val="00B64913"/>
    <w:rsid w:val="00C62DE9"/>
    <w:rsid w:val="00C74C95"/>
    <w:rsid w:val="00C74EBA"/>
    <w:rsid w:val="00CB11D3"/>
    <w:rsid w:val="00D23F1B"/>
    <w:rsid w:val="00D805FF"/>
    <w:rsid w:val="00E5724C"/>
    <w:rsid w:val="00EA7B41"/>
    <w:rsid w:val="00EF30AE"/>
    <w:rsid w:val="00F611E6"/>
    <w:rsid w:val="00F9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1E6"/>
    <w:pPr>
      <w:spacing w:after="0" w:line="240" w:lineRule="auto"/>
    </w:pPr>
  </w:style>
  <w:style w:type="table" w:styleId="a4">
    <w:name w:val="Table Grid"/>
    <w:basedOn w:val="a1"/>
    <w:uiPriority w:val="59"/>
    <w:rsid w:val="00321F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32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1F94"/>
  </w:style>
  <w:style w:type="paragraph" w:styleId="a7">
    <w:name w:val="footer"/>
    <w:basedOn w:val="a"/>
    <w:link w:val="a8"/>
    <w:uiPriority w:val="99"/>
    <w:semiHidden/>
    <w:unhideWhenUsed/>
    <w:rsid w:val="0032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1F94"/>
  </w:style>
  <w:style w:type="character" w:styleId="a9">
    <w:name w:val="Strong"/>
    <w:basedOn w:val="a0"/>
    <w:uiPriority w:val="22"/>
    <w:qFormat/>
    <w:rsid w:val="00EA7B41"/>
    <w:rPr>
      <w:b/>
      <w:bCs/>
    </w:rPr>
  </w:style>
  <w:style w:type="character" w:styleId="aa">
    <w:name w:val="Hyperlink"/>
    <w:basedOn w:val="a0"/>
    <w:uiPriority w:val="99"/>
    <w:unhideWhenUsed/>
    <w:rsid w:val="00EA7B41"/>
    <w:rPr>
      <w:color w:val="0000FF"/>
      <w:u w:val="single"/>
    </w:rPr>
  </w:style>
  <w:style w:type="paragraph" w:customStyle="1" w:styleId="Default">
    <w:name w:val="Default"/>
    <w:rsid w:val="000F7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072A00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72A00"/>
    <w:pPr>
      <w:widowControl w:val="0"/>
      <w:shd w:val="clear" w:color="auto" w:fill="FFFFFF"/>
      <w:spacing w:after="540" w:line="571" w:lineRule="exact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zhynrada.gov.ua/article/1355/vddl-z-pitan-dlovodstva-ta-roboti-z-zvernennyami-gromadya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izhynrada.gov.ua/article/1355/vddl-z-pitan-dlovodstva-ta-roboti-z-zvernennyami-gromadyan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1929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</cp:lastModifiedBy>
  <cp:revision>37</cp:revision>
  <dcterms:created xsi:type="dcterms:W3CDTF">2019-11-15T19:12:00Z</dcterms:created>
  <dcterms:modified xsi:type="dcterms:W3CDTF">2019-11-28T10:21:00Z</dcterms:modified>
</cp:coreProperties>
</file>