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94" w:rsidRPr="00B54AD1" w:rsidRDefault="00121E99" w:rsidP="00864543">
      <w:pPr>
        <w:pStyle w:val="a3"/>
        <w:ind w:firstLine="6237"/>
        <w:jc w:val="both"/>
        <w:rPr>
          <w:rFonts w:ascii="Times New Roman" w:hAnsi="Times New Roman" w:cs="Times New Roman"/>
          <w:sz w:val="24"/>
          <w:lang w:val="uk-UA"/>
        </w:rPr>
      </w:pPr>
      <w:r>
        <w:rPr>
          <w:rFonts w:ascii="Times New Roman" w:hAnsi="Times New Roman" w:cs="Times New Roman"/>
          <w:sz w:val="24"/>
          <w:lang w:val="uk-UA"/>
        </w:rPr>
        <w:t>Додаток №5</w:t>
      </w:r>
    </w:p>
    <w:p w:rsidR="000552DE" w:rsidRPr="00B54AD1" w:rsidRDefault="00F611E6"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до </w:t>
      </w:r>
      <w:r w:rsidR="000552DE" w:rsidRPr="00B54AD1">
        <w:rPr>
          <w:rFonts w:ascii="Times New Roman" w:hAnsi="Times New Roman" w:cs="Times New Roman"/>
          <w:sz w:val="24"/>
          <w:lang w:val="uk-UA"/>
        </w:rPr>
        <w:t xml:space="preserve">Звіту за результатами оцінки </w:t>
      </w:r>
    </w:p>
    <w:p w:rsidR="000552DE"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корупційних ризиків у діяльності </w:t>
      </w:r>
    </w:p>
    <w:p w:rsidR="001A5790"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Суб'єктів</w:t>
      </w:r>
    </w:p>
    <w:p w:rsidR="00F611E6" w:rsidRPr="00B54AD1" w:rsidRDefault="00F611E6" w:rsidP="00F611E6">
      <w:pPr>
        <w:pStyle w:val="a3"/>
        <w:jc w:val="both"/>
        <w:rPr>
          <w:rFonts w:ascii="Times New Roman" w:hAnsi="Times New Roman" w:cs="Times New Roman"/>
          <w:sz w:val="24"/>
          <w:lang w:val="uk-UA"/>
        </w:rPr>
      </w:pPr>
      <w:bookmarkStart w:id="0" w:name="_GoBack"/>
      <w:bookmarkEnd w:id="0"/>
    </w:p>
    <w:p w:rsidR="008374B9" w:rsidRPr="008374B9" w:rsidRDefault="00121E99" w:rsidP="005F58CD">
      <w:pPr>
        <w:pStyle w:val="a3"/>
        <w:jc w:val="center"/>
        <w:rPr>
          <w:rFonts w:ascii="Times New Roman" w:hAnsi="Times New Roman" w:cs="Times New Roman"/>
          <w:b/>
          <w:sz w:val="24"/>
          <w:lang w:val="uk-UA"/>
        </w:rPr>
      </w:pPr>
      <w:r>
        <w:rPr>
          <w:rFonts w:ascii="Times New Roman" w:hAnsi="Times New Roman" w:cs="Times New Roman"/>
          <w:b/>
          <w:sz w:val="24"/>
          <w:lang w:val="uk-UA"/>
        </w:rPr>
        <w:t>Заходи щодо усунення оцінених корупційних ризиків</w:t>
      </w:r>
    </w:p>
    <w:p w:rsidR="00321F94" w:rsidRPr="00B54AD1" w:rsidRDefault="00321F94" w:rsidP="00F611E6">
      <w:pPr>
        <w:pStyle w:val="a3"/>
        <w:jc w:val="both"/>
        <w:rPr>
          <w:rFonts w:ascii="Times New Roman" w:hAnsi="Times New Roman" w:cs="Times New Roman"/>
          <w:lang w:val="uk-UA"/>
        </w:rPr>
      </w:pPr>
    </w:p>
    <w:tbl>
      <w:tblPr>
        <w:tblStyle w:val="a4"/>
        <w:tblW w:w="10882" w:type="dxa"/>
        <w:tblLayout w:type="fixed"/>
        <w:tblLook w:val="04A0" w:firstRow="1" w:lastRow="0" w:firstColumn="1" w:lastColumn="0" w:noHBand="0" w:noVBand="1"/>
      </w:tblPr>
      <w:tblGrid>
        <w:gridCol w:w="2660"/>
        <w:gridCol w:w="1559"/>
        <w:gridCol w:w="1418"/>
        <w:gridCol w:w="1417"/>
        <w:gridCol w:w="1276"/>
        <w:gridCol w:w="1276"/>
        <w:gridCol w:w="1276"/>
      </w:tblGrid>
      <w:tr w:rsidR="00121E99" w:rsidRPr="0074524D" w:rsidTr="00121E99">
        <w:tc>
          <w:tcPr>
            <w:tcW w:w="2660" w:type="dxa"/>
          </w:tcPr>
          <w:p w:rsidR="00121E99" w:rsidRPr="0074524D" w:rsidRDefault="00121E99" w:rsidP="00AA4ADD">
            <w:pPr>
              <w:pStyle w:val="a3"/>
              <w:jc w:val="center"/>
              <w:rPr>
                <w:rFonts w:ascii="Times New Roman" w:hAnsi="Times New Roman" w:cs="Times New Roman"/>
                <w:b/>
                <w:lang w:val="uk-UA"/>
              </w:rPr>
            </w:pPr>
            <w:r w:rsidRPr="0074524D">
              <w:rPr>
                <w:rFonts w:ascii="Times New Roman" w:hAnsi="Times New Roman" w:cs="Times New Roman"/>
                <w:b/>
                <w:lang w:val="uk-UA"/>
              </w:rPr>
              <w:t>Ідентифікований корупційний ризик</w:t>
            </w:r>
          </w:p>
        </w:tc>
        <w:tc>
          <w:tcPr>
            <w:tcW w:w="1559" w:type="dxa"/>
          </w:tcPr>
          <w:p w:rsidR="00121E99" w:rsidRPr="0074524D" w:rsidRDefault="00F16F1B" w:rsidP="00F16F1B">
            <w:pPr>
              <w:pStyle w:val="a3"/>
              <w:jc w:val="center"/>
              <w:rPr>
                <w:rFonts w:ascii="Times New Roman" w:hAnsi="Times New Roman" w:cs="Times New Roman"/>
                <w:b/>
                <w:lang w:val="uk-UA"/>
              </w:rPr>
            </w:pPr>
            <w:r>
              <w:rPr>
                <w:rFonts w:ascii="Times New Roman" w:hAnsi="Times New Roman" w:cs="Times New Roman"/>
                <w:b/>
                <w:lang w:val="uk-UA"/>
              </w:rPr>
              <w:t>Пріоритетність корупційного ризику (низька/середня/висока)</w:t>
            </w:r>
          </w:p>
        </w:tc>
        <w:tc>
          <w:tcPr>
            <w:tcW w:w="1418" w:type="dxa"/>
          </w:tcPr>
          <w:p w:rsidR="00121E99" w:rsidRPr="0074524D" w:rsidRDefault="00F16F1B" w:rsidP="00AA4ADD">
            <w:pPr>
              <w:pStyle w:val="a3"/>
              <w:jc w:val="center"/>
              <w:rPr>
                <w:rFonts w:ascii="Times New Roman" w:hAnsi="Times New Roman" w:cs="Times New Roman"/>
                <w:b/>
                <w:lang w:val="uk-UA"/>
              </w:rPr>
            </w:pPr>
            <w:r>
              <w:rPr>
                <w:rFonts w:ascii="Times New Roman" w:hAnsi="Times New Roman" w:cs="Times New Roman"/>
                <w:b/>
                <w:lang w:val="uk-UA"/>
              </w:rPr>
              <w:t>Заходи щодо усунення корупційного ризику</w:t>
            </w:r>
          </w:p>
        </w:tc>
        <w:tc>
          <w:tcPr>
            <w:tcW w:w="1417" w:type="dxa"/>
          </w:tcPr>
          <w:p w:rsidR="00121E99" w:rsidRPr="0074524D" w:rsidRDefault="00F16F1B" w:rsidP="00AA4ADD">
            <w:pPr>
              <w:pStyle w:val="a3"/>
              <w:jc w:val="center"/>
              <w:rPr>
                <w:rFonts w:ascii="Times New Roman" w:hAnsi="Times New Roman" w:cs="Times New Roman"/>
                <w:b/>
                <w:lang w:val="uk-UA"/>
              </w:rPr>
            </w:pPr>
            <w:r>
              <w:rPr>
                <w:rFonts w:ascii="Times New Roman" w:hAnsi="Times New Roman" w:cs="Times New Roman"/>
                <w:b/>
                <w:lang w:val="uk-UA"/>
              </w:rPr>
              <w:t>Відповідальні за виконання</w:t>
            </w:r>
          </w:p>
        </w:tc>
        <w:tc>
          <w:tcPr>
            <w:tcW w:w="1276" w:type="dxa"/>
          </w:tcPr>
          <w:p w:rsidR="00121E99" w:rsidRPr="0074524D" w:rsidRDefault="00F16F1B" w:rsidP="00AA4ADD">
            <w:pPr>
              <w:pStyle w:val="a3"/>
              <w:jc w:val="center"/>
              <w:rPr>
                <w:rFonts w:ascii="Times New Roman" w:hAnsi="Times New Roman" w:cs="Times New Roman"/>
                <w:b/>
                <w:lang w:val="uk-UA"/>
              </w:rPr>
            </w:pPr>
            <w:r>
              <w:rPr>
                <w:rFonts w:ascii="Times New Roman" w:hAnsi="Times New Roman" w:cs="Times New Roman"/>
                <w:b/>
                <w:lang w:val="uk-UA"/>
              </w:rPr>
              <w:t>Строк виконання заходу</w:t>
            </w:r>
          </w:p>
        </w:tc>
        <w:tc>
          <w:tcPr>
            <w:tcW w:w="1276" w:type="dxa"/>
          </w:tcPr>
          <w:p w:rsidR="00121E99" w:rsidRPr="0074524D" w:rsidRDefault="00F16F1B" w:rsidP="00AA4ADD">
            <w:pPr>
              <w:pStyle w:val="a3"/>
              <w:jc w:val="center"/>
              <w:rPr>
                <w:rFonts w:ascii="Times New Roman" w:hAnsi="Times New Roman" w:cs="Times New Roman"/>
                <w:b/>
                <w:lang w:val="uk-UA"/>
              </w:rPr>
            </w:pPr>
            <w:r>
              <w:rPr>
                <w:rFonts w:ascii="Times New Roman" w:hAnsi="Times New Roman" w:cs="Times New Roman"/>
                <w:b/>
                <w:lang w:val="uk-UA"/>
              </w:rPr>
              <w:t>Необхідні для виконання ресурси</w:t>
            </w:r>
          </w:p>
        </w:tc>
        <w:tc>
          <w:tcPr>
            <w:tcW w:w="1276" w:type="dxa"/>
          </w:tcPr>
          <w:p w:rsidR="00121E99" w:rsidRPr="0074524D" w:rsidRDefault="00F16F1B" w:rsidP="00AA4ADD">
            <w:pPr>
              <w:pStyle w:val="a3"/>
              <w:jc w:val="center"/>
              <w:rPr>
                <w:rFonts w:ascii="Times New Roman" w:hAnsi="Times New Roman" w:cs="Times New Roman"/>
                <w:b/>
                <w:lang w:val="uk-UA"/>
              </w:rPr>
            </w:pPr>
            <w:r>
              <w:rPr>
                <w:rFonts w:ascii="Times New Roman" w:hAnsi="Times New Roman" w:cs="Times New Roman"/>
                <w:b/>
                <w:lang w:val="uk-UA"/>
              </w:rPr>
              <w:t>Очікувані результати</w:t>
            </w:r>
          </w:p>
        </w:tc>
      </w:tr>
      <w:tr w:rsidR="00121E99" w:rsidRPr="0074524D" w:rsidTr="00121E99">
        <w:tc>
          <w:tcPr>
            <w:tcW w:w="2660" w:type="dxa"/>
          </w:tcPr>
          <w:p w:rsidR="00121E99" w:rsidRPr="0074524D" w:rsidRDefault="00121E99" w:rsidP="00BE075D">
            <w:pPr>
              <w:pStyle w:val="Default"/>
              <w:rPr>
                <w:color w:val="auto"/>
                <w:sz w:val="22"/>
                <w:szCs w:val="22"/>
                <w:lang w:val="uk-UA"/>
              </w:rPr>
            </w:pPr>
            <w:r w:rsidRPr="0074524D">
              <w:rPr>
                <w:color w:val="auto"/>
                <w:sz w:val="22"/>
                <w:szCs w:val="22"/>
                <w:lang w:val="uk-UA"/>
              </w:rPr>
              <w:t>1. Вплив інших осіб на результат прийняття рішень депутатами Ніжинської міської ради, членами її виконавчого комітету</w:t>
            </w:r>
          </w:p>
        </w:tc>
        <w:tc>
          <w:tcPr>
            <w:tcW w:w="1559" w:type="dxa"/>
          </w:tcPr>
          <w:p w:rsidR="00121E99" w:rsidRPr="0074524D" w:rsidRDefault="00121E99" w:rsidP="005F58CD">
            <w:pPr>
              <w:pStyle w:val="Default"/>
              <w:jc w:val="center"/>
              <w:rPr>
                <w:color w:val="auto"/>
                <w:sz w:val="22"/>
                <w:szCs w:val="22"/>
                <w:lang w:val="uk-UA"/>
              </w:rPr>
            </w:pPr>
          </w:p>
        </w:tc>
        <w:tc>
          <w:tcPr>
            <w:tcW w:w="1418" w:type="dxa"/>
          </w:tcPr>
          <w:p w:rsidR="00121E99" w:rsidRPr="0074524D" w:rsidRDefault="00121E99" w:rsidP="004B1C1F">
            <w:pPr>
              <w:pStyle w:val="Default"/>
              <w:rPr>
                <w:color w:val="auto"/>
                <w:sz w:val="22"/>
                <w:szCs w:val="22"/>
                <w:lang w:val="uk-UA"/>
              </w:rPr>
            </w:pPr>
          </w:p>
        </w:tc>
        <w:tc>
          <w:tcPr>
            <w:tcW w:w="1417" w:type="dxa"/>
          </w:tcPr>
          <w:p w:rsidR="00121E99" w:rsidRPr="0074524D" w:rsidRDefault="00121E99" w:rsidP="001D40F0">
            <w:pPr>
              <w:pStyle w:val="Default"/>
              <w:rPr>
                <w:color w:val="auto"/>
                <w:sz w:val="22"/>
                <w:szCs w:val="22"/>
                <w:lang w:val="uk-UA"/>
              </w:rPr>
            </w:pPr>
          </w:p>
        </w:tc>
        <w:tc>
          <w:tcPr>
            <w:tcW w:w="1276" w:type="dxa"/>
          </w:tcPr>
          <w:p w:rsidR="00121E99" w:rsidRPr="0074524D" w:rsidRDefault="00121E99" w:rsidP="001D40F0">
            <w:pPr>
              <w:pStyle w:val="Default"/>
              <w:rPr>
                <w:color w:val="auto"/>
                <w:sz w:val="22"/>
                <w:szCs w:val="22"/>
                <w:lang w:val="uk-UA"/>
              </w:rPr>
            </w:pPr>
          </w:p>
        </w:tc>
        <w:tc>
          <w:tcPr>
            <w:tcW w:w="1276" w:type="dxa"/>
          </w:tcPr>
          <w:p w:rsidR="00121E99" w:rsidRPr="0074524D" w:rsidRDefault="00121E99" w:rsidP="001D40F0">
            <w:pPr>
              <w:pStyle w:val="Default"/>
              <w:rPr>
                <w:color w:val="auto"/>
                <w:sz w:val="22"/>
                <w:szCs w:val="22"/>
                <w:lang w:val="uk-UA"/>
              </w:rPr>
            </w:pPr>
          </w:p>
        </w:tc>
        <w:tc>
          <w:tcPr>
            <w:tcW w:w="1276" w:type="dxa"/>
          </w:tcPr>
          <w:p w:rsidR="00121E99" w:rsidRPr="0074524D" w:rsidRDefault="00121E99" w:rsidP="001D40F0">
            <w:pPr>
              <w:pStyle w:val="Default"/>
              <w:rPr>
                <w:color w:val="auto"/>
                <w:sz w:val="22"/>
                <w:szCs w:val="22"/>
                <w:lang w:val="uk-UA"/>
              </w:rPr>
            </w:pPr>
          </w:p>
        </w:tc>
      </w:tr>
      <w:tr w:rsidR="00121E99" w:rsidRPr="0074524D" w:rsidTr="00121E99">
        <w:tc>
          <w:tcPr>
            <w:tcW w:w="2660" w:type="dxa"/>
          </w:tcPr>
          <w:p w:rsidR="00121E99" w:rsidRPr="0074524D" w:rsidRDefault="00121E99" w:rsidP="000A7B92">
            <w:pPr>
              <w:pStyle w:val="Default"/>
              <w:rPr>
                <w:color w:val="auto"/>
                <w:sz w:val="22"/>
                <w:szCs w:val="22"/>
                <w:lang w:val="uk-UA"/>
              </w:rPr>
            </w:pPr>
            <w:r w:rsidRPr="0074524D">
              <w:rPr>
                <w:color w:val="auto"/>
                <w:sz w:val="22"/>
                <w:szCs w:val="22"/>
                <w:lang w:val="uk-UA"/>
              </w:rPr>
              <w:t>2. Наявність у Суб'єктів власної матеріальної/ нематеріальної вигоди під час здійснення учасниками програми своїх повноважень.</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rsidP="000A7B92">
            <w:pPr>
              <w:pStyle w:val="Default"/>
              <w:rPr>
                <w:color w:val="auto"/>
                <w:sz w:val="22"/>
                <w:szCs w:val="22"/>
                <w:lang w:val="uk-UA"/>
              </w:rPr>
            </w:pPr>
          </w:p>
        </w:tc>
        <w:tc>
          <w:tcPr>
            <w:tcW w:w="1417" w:type="dxa"/>
          </w:tcPr>
          <w:p w:rsidR="00121E99" w:rsidRPr="0074524D" w:rsidRDefault="00121E99" w:rsidP="000E47F0">
            <w:pPr>
              <w:pStyle w:val="Default"/>
              <w:rPr>
                <w:color w:val="auto"/>
                <w:sz w:val="22"/>
                <w:szCs w:val="22"/>
                <w:lang w:val="uk-UA"/>
              </w:rPr>
            </w:pPr>
          </w:p>
        </w:tc>
        <w:tc>
          <w:tcPr>
            <w:tcW w:w="1276" w:type="dxa"/>
          </w:tcPr>
          <w:p w:rsidR="00121E99" w:rsidRPr="0074524D" w:rsidRDefault="00121E99" w:rsidP="000E47F0">
            <w:pPr>
              <w:pStyle w:val="Default"/>
              <w:rPr>
                <w:color w:val="auto"/>
                <w:sz w:val="22"/>
                <w:szCs w:val="22"/>
                <w:lang w:val="uk-UA"/>
              </w:rPr>
            </w:pPr>
          </w:p>
        </w:tc>
        <w:tc>
          <w:tcPr>
            <w:tcW w:w="1276" w:type="dxa"/>
          </w:tcPr>
          <w:p w:rsidR="00121E99" w:rsidRPr="0074524D" w:rsidRDefault="00121E99" w:rsidP="000E47F0">
            <w:pPr>
              <w:pStyle w:val="Default"/>
              <w:rPr>
                <w:color w:val="auto"/>
                <w:sz w:val="22"/>
                <w:szCs w:val="22"/>
                <w:lang w:val="uk-UA"/>
              </w:rPr>
            </w:pPr>
          </w:p>
        </w:tc>
        <w:tc>
          <w:tcPr>
            <w:tcW w:w="1276" w:type="dxa"/>
          </w:tcPr>
          <w:p w:rsidR="00121E99" w:rsidRPr="0074524D" w:rsidRDefault="00121E99" w:rsidP="000E47F0">
            <w:pPr>
              <w:pStyle w:val="Default"/>
              <w:rPr>
                <w:color w:val="auto"/>
                <w:sz w:val="22"/>
                <w:szCs w:val="22"/>
                <w:lang w:val="uk-UA"/>
              </w:rPr>
            </w:pPr>
          </w:p>
        </w:tc>
      </w:tr>
      <w:tr w:rsidR="00121E99" w:rsidRPr="0074524D" w:rsidTr="00121E99">
        <w:tc>
          <w:tcPr>
            <w:tcW w:w="2660" w:type="dxa"/>
          </w:tcPr>
          <w:p w:rsidR="00121E99" w:rsidRPr="0074524D" w:rsidRDefault="00121E99">
            <w:pPr>
              <w:pStyle w:val="Default"/>
              <w:rPr>
                <w:color w:val="auto"/>
                <w:sz w:val="22"/>
                <w:szCs w:val="22"/>
                <w:lang w:val="uk-UA"/>
              </w:rPr>
            </w:pPr>
            <w:r w:rsidRPr="0074524D">
              <w:rPr>
                <w:color w:val="auto"/>
                <w:sz w:val="22"/>
                <w:szCs w:val="22"/>
                <w:lang w:val="uk-UA"/>
              </w:rPr>
              <w:t xml:space="preserve">3. Ризик виникнення конфлікту інтересів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pPr>
              <w:pStyle w:val="Default"/>
              <w:rPr>
                <w:color w:val="auto"/>
                <w:sz w:val="22"/>
                <w:szCs w:val="22"/>
                <w:lang w:val="uk-UA"/>
              </w:rPr>
            </w:pPr>
            <w:r w:rsidRPr="0074524D">
              <w:rPr>
                <w:color w:val="auto"/>
                <w:sz w:val="22"/>
                <w:szCs w:val="22"/>
                <w:lang w:val="uk-UA"/>
              </w:rPr>
              <w:t xml:space="preserve">4. Незнання антикорупційного законодавства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pPr>
              <w:pStyle w:val="Default"/>
              <w:rPr>
                <w:color w:val="auto"/>
                <w:sz w:val="22"/>
                <w:szCs w:val="22"/>
                <w:lang w:val="uk-UA"/>
              </w:rPr>
            </w:pPr>
            <w:r w:rsidRPr="0074524D">
              <w:rPr>
                <w:color w:val="auto"/>
                <w:sz w:val="22"/>
                <w:szCs w:val="22"/>
                <w:lang w:val="uk-UA"/>
              </w:rPr>
              <w:t xml:space="preserve">5. Власна матеріальна зацікавленість під час подання/неподання декларації особи, уповноваженої на виконання функцій держави або місцевого самоврядування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rsidP="007176BB">
            <w:pPr>
              <w:pStyle w:val="Default"/>
              <w:rPr>
                <w:color w:val="auto"/>
                <w:sz w:val="22"/>
                <w:szCs w:val="22"/>
                <w:lang w:val="uk-UA"/>
              </w:rPr>
            </w:pPr>
            <w:r w:rsidRPr="0074524D">
              <w:rPr>
                <w:color w:val="auto"/>
                <w:sz w:val="22"/>
                <w:szCs w:val="22"/>
                <w:lang w:val="uk-UA"/>
              </w:rPr>
              <w:t>6. Власна зацікавленість, або вплив з боку посадових, або інших осіб при підготовці проектів розпоряджень міського голови міста Ніжина, проектів договорів, стороною яких Ніжинська міська рада, її виконавчий комітет, проектів рішень, що вносяться на розгляд Ніжинської міської ради</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rsidP="00D14E24">
            <w:pPr>
              <w:pStyle w:val="Default"/>
              <w:rPr>
                <w:color w:val="auto"/>
                <w:sz w:val="22"/>
                <w:szCs w:val="22"/>
                <w:lang w:val="uk-UA"/>
              </w:rPr>
            </w:pPr>
            <w:r w:rsidRPr="0074524D">
              <w:rPr>
                <w:color w:val="auto"/>
                <w:sz w:val="22"/>
                <w:szCs w:val="22"/>
                <w:lang w:val="uk-UA"/>
              </w:rPr>
              <w:t xml:space="preserve">7. Вплив Суб'єктів на членів тендерного комітету виконавчого комітету ніжинської міської ради з метою </w:t>
            </w:r>
            <w:r w:rsidRPr="0074524D">
              <w:rPr>
                <w:color w:val="auto"/>
                <w:sz w:val="22"/>
                <w:szCs w:val="22"/>
                <w:lang w:val="uk-UA"/>
              </w:rPr>
              <w:lastRenderedPageBreak/>
              <w:t xml:space="preserve">сприяння укладенню договорів на закупівлю товарів, робіт і послуг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rsidP="006D7F84">
            <w:pPr>
              <w:pStyle w:val="Default"/>
              <w:rPr>
                <w:color w:val="auto"/>
                <w:sz w:val="22"/>
                <w:szCs w:val="22"/>
                <w:lang w:val="uk-UA"/>
              </w:rPr>
            </w:pPr>
            <w:r w:rsidRPr="0074524D">
              <w:rPr>
                <w:color w:val="auto"/>
                <w:sz w:val="22"/>
                <w:szCs w:val="22"/>
                <w:lang w:val="uk-UA"/>
              </w:rPr>
              <w:lastRenderedPageBreak/>
              <w:t>8.Затримка термінів оприлюднення розгляду та відповідей на електронні петиції, запити, заяви, скарги, пропозиції фізичних та юридичних осіб, проектів рішень Ніжинської міської ради, її виконавчого комітету</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rsidP="004C3753">
            <w:pPr>
              <w:pStyle w:val="Default"/>
              <w:rPr>
                <w:color w:val="auto"/>
                <w:sz w:val="22"/>
                <w:szCs w:val="22"/>
                <w:lang w:val="uk-UA"/>
              </w:rPr>
            </w:pPr>
          </w:p>
        </w:tc>
        <w:tc>
          <w:tcPr>
            <w:tcW w:w="1417" w:type="dxa"/>
          </w:tcPr>
          <w:p w:rsidR="00121E99" w:rsidRPr="0074524D" w:rsidRDefault="00121E99" w:rsidP="004C3753">
            <w:pPr>
              <w:pStyle w:val="Default"/>
              <w:rPr>
                <w:color w:val="auto"/>
                <w:sz w:val="22"/>
                <w:szCs w:val="22"/>
                <w:lang w:val="uk-UA"/>
              </w:rPr>
            </w:pPr>
          </w:p>
        </w:tc>
        <w:tc>
          <w:tcPr>
            <w:tcW w:w="1276" w:type="dxa"/>
          </w:tcPr>
          <w:p w:rsidR="00121E99" w:rsidRPr="0074524D" w:rsidRDefault="00121E99" w:rsidP="004C3753">
            <w:pPr>
              <w:pStyle w:val="Default"/>
              <w:rPr>
                <w:color w:val="auto"/>
                <w:sz w:val="22"/>
                <w:szCs w:val="22"/>
                <w:lang w:val="uk-UA"/>
              </w:rPr>
            </w:pPr>
          </w:p>
        </w:tc>
        <w:tc>
          <w:tcPr>
            <w:tcW w:w="1276" w:type="dxa"/>
          </w:tcPr>
          <w:p w:rsidR="00121E99" w:rsidRPr="0074524D" w:rsidRDefault="00121E99" w:rsidP="004C3753">
            <w:pPr>
              <w:pStyle w:val="Default"/>
              <w:rPr>
                <w:color w:val="auto"/>
                <w:sz w:val="22"/>
                <w:szCs w:val="22"/>
                <w:lang w:val="uk-UA"/>
              </w:rPr>
            </w:pPr>
          </w:p>
        </w:tc>
        <w:tc>
          <w:tcPr>
            <w:tcW w:w="1276" w:type="dxa"/>
          </w:tcPr>
          <w:p w:rsidR="00121E99" w:rsidRPr="0074524D" w:rsidRDefault="00121E99" w:rsidP="004C3753">
            <w:pPr>
              <w:pStyle w:val="Default"/>
              <w:rPr>
                <w:color w:val="auto"/>
                <w:sz w:val="22"/>
                <w:szCs w:val="22"/>
                <w:lang w:val="uk-UA"/>
              </w:rPr>
            </w:pPr>
          </w:p>
        </w:tc>
      </w:tr>
      <w:tr w:rsidR="00121E99" w:rsidRPr="0074524D" w:rsidTr="00121E99">
        <w:tc>
          <w:tcPr>
            <w:tcW w:w="2660" w:type="dxa"/>
          </w:tcPr>
          <w:p w:rsidR="00121E99" w:rsidRPr="0074524D" w:rsidRDefault="00121E99" w:rsidP="00B313B3">
            <w:pPr>
              <w:pStyle w:val="Default"/>
              <w:rPr>
                <w:color w:val="auto"/>
                <w:sz w:val="22"/>
                <w:szCs w:val="22"/>
                <w:lang w:val="uk-UA"/>
              </w:rPr>
            </w:pPr>
            <w:r w:rsidRPr="0074524D">
              <w:rPr>
                <w:color w:val="auto"/>
                <w:sz w:val="22"/>
                <w:szCs w:val="22"/>
                <w:lang w:val="uk-UA"/>
              </w:rPr>
              <w:t xml:space="preserve">9. Ризики, пов’язані з конфліктом інтересів під час проведення перевірок підвідомчих установ, організацій, підприємств, зокрема надання переваг, необґрунтованих позитивних чи негативних висновків за результатами перевірок установ організацій, підприємств, в яких працюють особи, пов’язані приватним інтересом з посадовою особою, яка здійснює перевірку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pPr>
              <w:pStyle w:val="Default"/>
              <w:rPr>
                <w:color w:val="auto"/>
                <w:sz w:val="22"/>
                <w:szCs w:val="22"/>
                <w:lang w:val="uk-UA"/>
              </w:rPr>
            </w:pPr>
          </w:p>
        </w:tc>
        <w:tc>
          <w:tcPr>
            <w:tcW w:w="1417" w:type="dxa"/>
          </w:tcPr>
          <w:p w:rsidR="00121E99" w:rsidRPr="0074524D" w:rsidRDefault="00121E99" w:rsidP="00B313B3">
            <w:pPr>
              <w:pStyle w:val="Default"/>
              <w:rPr>
                <w:color w:val="auto"/>
                <w:sz w:val="22"/>
                <w:szCs w:val="22"/>
                <w:lang w:val="uk-UA"/>
              </w:rPr>
            </w:pPr>
          </w:p>
        </w:tc>
        <w:tc>
          <w:tcPr>
            <w:tcW w:w="1276" w:type="dxa"/>
          </w:tcPr>
          <w:p w:rsidR="00121E99" w:rsidRPr="0074524D" w:rsidRDefault="00121E99" w:rsidP="00B313B3">
            <w:pPr>
              <w:pStyle w:val="Default"/>
              <w:rPr>
                <w:color w:val="auto"/>
                <w:sz w:val="22"/>
                <w:szCs w:val="22"/>
                <w:lang w:val="uk-UA"/>
              </w:rPr>
            </w:pPr>
          </w:p>
        </w:tc>
        <w:tc>
          <w:tcPr>
            <w:tcW w:w="1276" w:type="dxa"/>
          </w:tcPr>
          <w:p w:rsidR="00121E99" w:rsidRPr="0074524D" w:rsidRDefault="00121E99" w:rsidP="00B313B3">
            <w:pPr>
              <w:pStyle w:val="Default"/>
              <w:rPr>
                <w:color w:val="auto"/>
                <w:sz w:val="22"/>
                <w:szCs w:val="22"/>
                <w:lang w:val="uk-UA"/>
              </w:rPr>
            </w:pPr>
          </w:p>
        </w:tc>
        <w:tc>
          <w:tcPr>
            <w:tcW w:w="1276" w:type="dxa"/>
          </w:tcPr>
          <w:p w:rsidR="00121E99" w:rsidRPr="0074524D" w:rsidRDefault="00121E99" w:rsidP="00B313B3">
            <w:pPr>
              <w:pStyle w:val="Default"/>
              <w:rPr>
                <w:color w:val="auto"/>
                <w:sz w:val="22"/>
                <w:szCs w:val="22"/>
                <w:lang w:val="uk-UA"/>
              </w:rPr>
            </w:pPr>
          </w:p>
        </w:tc>
      </w:tr>
      <w:tr w:rsidR="00121E99" w:rsidRPr="0074524D" w:rsidTr="00121E99">
        <w:tc>
          <w:tcPr>
            <w:tcW w:w="2660" w:type="dxa"/>
          </w:tcPr>
          <w:p w:rsidR="00121E99" w:rsidRPr="0074524D" w:rsidRDefault="00121E99">
            <w:pPr>
              <w:pStyle w:val="Default"/>
              <w:rPr>
                <w:color w:val="auto"/>
                <w:sz w:val="22"/>
                <w:szCs w:val="22"/>
                <w:lang w:val="uk-UA"/>
              </w:rPr>
            </w:pPr>
            <w:r w:rsidRPr="0074524D">
              <w:rPr>
                <w:color w:val="auto"/>
                <w:sz w:val="22"/>
                <w:szCs w:val="22"/>
                <w:lang w:val="uk-UA"/>
              </w:rPr>
              <w:t xml:space="preserve">10. Ризики, пов’язані з конфліктом інтересів, під час подання на призначення керівників підприємств установ, організацій комунальної форми власності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rsidP="00B313B3">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rsidP="009A4BED">
            <w:pPr>
              <w:pStyle w:val="Default"/>
              <w:rPr>
                <w:color w:val="auto"/>
                <w:sz w:val="22"/>
                <w:szCs w:val="22"/>
                <w:lang w:val="uk-UA"/>
              </w:rPr>
            </w:pPr>
            <w:r w:rsidRPr="0074524D">
              <w:rPr>
                <w:color w:val="auto"/>
                <w:sz w:val="22"/>
                <w:szCs w:val="22"/>
                <w:lang w:val="uk-UA"/>
              </w:rPr>
              <w:t xml:space="preserve">11. Наявність у Суб'єктів дискреційних повноважень </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rsidP="009A4BED">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121E99" w:rsidRPr="0074524D" w:rsidTr="00121E99">
        <w:tc>
          <w:tcPr>
            <w:tcW w:w="2660" w:type="dxa"/>
          </w:tcPr>
          <w:p w:rsidR="00121E99" w:rsidRPr="0074524D" w:rsidRDefault="00121E99" w:rsidP="005F58CD">
            <w:pPr>
              <w:pStyle w:val="a3"/>
              <w:rPr>
                <w:rFonts w:ascii="Times New Roman" w:hAnsi="Times New Roman" w:cs="Times New Roman"/>
                <w:b/>
                <w:lang w:val="uk-UA"/>
              </w:rPr>
            </w:pPr>
            <w:r w:rsidRPr="0074524D">
              <w:rPr>
                <w:rFonts w:ascii="Times New Roman" w:hAnsi="Times New Roman" w:cs="Times New Roman"/>
                <w:lang w:val="uk-UA"/>
              </w:rPr>
              <w:t xml:space="preserve">12. Вплив Суб'єктів на членів комісій, які розглядають заяви, звернення, скарги фізичних та юридичних осіб, на результати такого розгляду (зокрема, адміністративна комісія при виконавчому комітеті Ніжинської міської ради Чернігівської області; комісія по наданню матеріальної допомоги; комісія з погодження розміщення тимчасових споруд та засобів </w:t>
            </w:r>
            <w:r w:rsidRPr="0074524D">
              <w:rPr>
                <w:rFonts w:ascii="Times New Roman" w:hAnsi="Times New Roman" w:cs="Times New Roman"/>
                <w:lang w:val="uk-UA"/>
              </w:rPr>
              <w:lastRenderedPageBreak/>
              <w:t>пересувної дрібно-роздрібної торговельної мережі на об’єктах благоустрою; конкурсної комісії та робочої групи з відбору суб’єктів оціночної діяльності з метою надання послуг з оцінки майна; конкурсну комісію з відбору суб’єктів оціночної діяльності з метою виконання робіт з експертної грошової оцінки земельних ділянок; конкурсної комісії з питань заміщення вакантних посад посадових осіб місцевого самоврядування у виконавчих органах виконавчого комітету Ніжинської міської ради)</w:t>
            </w:r>
          </w:p>
        </w:tc>
        <w:tc>
          <w:tcPr>
            <w:tcW w:w="1559" w:type="dxa"/>
          </w:tcPr>
          <w:p w:rsidR="00121E99" w:rsidRPr="0074524D" w:rsidRDefault="00121E99" w:rsidP="005F58CD">
            <w:pPr>
              <w:jc w:val="center"/>
              <w:rPr>
                <w:rFonts w:ascii="Times New Roman" w:hAnsi="Times New Roman" w:cs="Times New Roman"/>
              </w:rPr>
            </w:pPr>
          </w:p>
        </w:tc>
        <w:tc>
          <w:tcPr>
            <w:tcW w:w="1418" w:type="dxa"/>
          </w:tcPr>
          <w:p w:rsidR="00121E99" w:rsidRPr="0074524D" w:rsidRDefault="00121E99" w:rsidP="009A4BED">
            <w:pPr>
              <w:pStyle w:val="Default"/>
              <w:rPr>
                <w:color w:val="auto"/>
                <w:sz w:val="22"/>
                <w:szCs w:val="22"/>
                <w:lang w:val="uk-UA"/>
              </w:rPr>
            </w:pPr>
          </w:p>
        </w:tc>
        <w:tc>
          <w:tcPr>
            <w:tcW w:w="1417"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c>
          <w:tcPr>
            <w:tcW w:w="1276" w:type="dxa"/>
          </w:tcPr>
          <w:p w:rsidR="00121E99" w:rsidRPr="0074524D" w:rsidRDefault="00121E99">
            <w:pPr>
              <w:pStyle w:val="Default"/>
              <w:rPr>
                <w:color w:val="auto"/>
                <w:sz w:val="22"/>
                <w:szCs w:val="22"/>
                <w:lang w:val="uk-UA"/>
              </w:rPr>
            </w:pPr>
          </w:p>
        </w:tc>
      </w:tr>
      <w:tr w:rsidR="00C90867" w:rsidRPr="0074524D" w:rsidTr="00121E99">
        <w:tc>
          <w:tcPr>
            <w:tcW w:w="2660" w:type="dxa"/>
          </w:tcPr>
          <w:p w:rsidR="00C90867" w:rsidRPr="00C90867" w:rsidRDefault="00C90867" w:rsidP="005F58CD">
            <w:pPr>
              <w:pStyle w:val="a3"/>
              <w:rPr>
                <w:rFonts w:ascii="Times New Roman" w:hAnsi="Times New Roman" w:cs="Times New Roman"/>
                <w:lang w:val="uk-UA"/>
              </w:rPr>
            </w:pPr>
            <w:r>
              <w:rPr>
                <w:rFonts w:ascii="Times New Roman" w:hAnsi="Times New Roman" w:cs="Times New Roman"/>
                <w:lang w:val="uk-UA"/>
              </w:rPr>
              <w:lastRenderedPageBreak/>
              <w:t>13. Імовірність отримання матеріальних благ посадовими особами за надання публічної інформації за запитом</w:t>
            </w:r>
          </w:p>
        </w:tc>
        <w:tc>
          <w:tcPr>
            <w:tcW w:w="1559" w:type="dxa"/>
          </w:tcPr>
          <w:p w:rsidR="00C90867" w:rsidRPr="0074524D" w:rsidRDefault="00C90867" w:rsidP="005F58CD">
            <w:pPr>
              <w:jc w:val="center"/>
              <w:rPr>
                <w:rFonts w:ascii="Times New Roman" w:hAnsi="Times New Roman" w:cs="Times New Roman"/>
              </w:rPr>
            </w:pPr>
          </w:p>
        </w:tc>
        <w:tc>
          <w:tcPr>
            <w:tcW w:w="1418" w:type="dxa"/>
          </w:tcPr>
          <w:p w:rsidR="00C90867" w:rsidRPr="0074524D" w:rsidRDefault="00C90867" w:rsidP="009A4BED">
            <w:pPr>
              <w:pStyle w:val="Default"/>
              <w:rPr>
                <w:color w:val="auto"/>
                <w:sz w:val="22"/>
                <w:szCs w:val="22"/>
                <w:lang w:val="uk-UA"/>
              </w:rPr>
            </w:pPr>
          </w:p>
        </w:tc>
        <w:tc>
          <w:tcPr>
            <w:tcW w:w="1417" w:type="dxa"/>
          </w:tcPr>
          <w:p w:rsidR="00C90867" w:rsidRPr="0074524D" w:rsidRDefault="00C90867">
            <w:pPr>
              <w:pStyle w:val="Default"/>
              <w:rPr>
                <w:color w:val="auto"/>
                <w:sz w:val="22"/>
                <w:szCs w:val="22"/>
                <w:lang w:val="uk-UA"/>
              </w:rPr>
            </w:pPr>
          </w:p>
        </w:tc>
        <w:tc>
          <w:tcPr>
            <w:tcW w:w="1276" w:type="dxa"/>
          </w:tcPr>
          <w:p w:rsidR="00C90867" w:rsidRPr="0074524D" w:rsidRDefault="00C90867">
            <w:pPr>
              <w:pStyle w:val="Default"/>
              <w:rPr>
                <w:color w:val="auto"/>
                <w:sz w:val="22"/>
                <w:szCs w:val="22"/>
                <w:lang w:val="uk-UA"/>
              </w:rPr>
            </w:pPr>
          </w:p>
        </w:tc>
        <w:tc>
          <w:tcPr>
            <w:tcW w:w="1276" w:type="dxa"/>
          </w:tcPr>
          <w:p w:rsidR="00C90867" w:rsidRPr="0074524D" w:rsidRDefault="00C90867">
            <w:pPr>
              <w:pStyle w:val="Default"/>
              <w:rPr>
                <w:color w:val="auto"/>
                <w:sz w:val="22"/>
                <w:szCs w:val="22"/>
                <w:lang w:val="uk-UA"/>
              </w:rPr>
            </w:pPr>
          </w:p>
        </w:tc>
        <w:tc>
          <w:tcPr>
            <w:tcW w:w="1276" w:type="dxa"/>
          </w:tcPr>
          <w:p w:rsidR="00C90867" w:rsidRPr="0074524D" w:rsidRDefault="00C90867">
            <w:pPr>
              <w:pStyle w:val="Default"/>
              <w:rPr>
                <w:color w:val="auto"/>
                <w:sz w:val="22"/>
                <w:szCs w:val="22"/>
                <w:lang w:val="uk-UA"/>
              </w:rPr>
            </w:pPr>
          </w:p>
        </w:tc>
      </w:tr>
    </w:tbl>
    <w:p w:rsidR="00AA4ADD" w:rsidRDefault="00AA4ADD" w:rsidP="00AA4ADD">
      <w:pPr>
        <w:pStyle w:val="a3"/>
        <w:jc w:val="both"/>
        <w:rPr>
          <w:rFonts w:ascii="Times New Roman" w:hAnsi="Times New Roman" w:cs="Times New Roman"/>
          <w:lang w:val="uk-UA"/>
        </w:rPr>
      </w:pPr>
    </w:p>
    <w:p w:rsidR="00F4306D" w:rsidRPr="0010102A" w:rsidRDefault="00F4306D" w:rsidP="00F4306D">
      <w:pPr>
        <w:pStyle w:val="Default"/>
        <w:ind w:firstLine="567"/>
        <w:jc w:val="both"/>
        <w:rPr>
          <w:sz w:val="28"/>
          <w:szCs w:val="28"/>
          <w:lang w:val="uk-UA"/>
        </w:rPr>
      </w:pPr>
      <w:r w:rsidRPr="0010102A">
        <w:rPr>
          <w:sz w:val="28"/>
          <w:szCs w:val="28"/>
          <w:lang w:val="uk-UA"/>
        </w:rPr>
        <w:t xml:space="preserve">Керуючий справами виконавчого комітету </w:t>
      </w:r>
    </w:p>
    <w:p w:rsidR="00F4306D" w:rsidRPr="0010102A" w:rsidRDefault="00F4306D" w:rsidP="00F4306D">
      <w:pPr>
        <w:pStyle w:val="Default"/>
        <w:ind w:firstLine="567"/>
        <w:jc w:val="both"/>
        <w:rPr>
          <w:sz w:val="28"/>
          <w:szCs w:val="28"/>
          <w:lang w:val="uk-UA"/>
        </w:rPr>
      </w:pPr>
      <w:r w:rsidRPr="0010102A">
        <w:rPr>
          <w:sz w:val="28"/>
          <w:szCs w:val="28"/>
          <w:lang w:val="uk-UA"/>
        </w:rPr>
        <w:t>Ніжинської міської ради, голова Комісії                                             С.О. Колесник</w:t>
      </w:r>
    </w:p>
    <w:p w:rsidR="00F4306D" w:rsidRPr="00B54AD1" w:rsidRDefault="00F4306D" w:rsidP="00AA4ADD">
      <w:pPr>
        <w:pStyle w:val="a3"/>
        <w:jc w:val="both"/>
        <w:rPr>
          <w:rFonts w:ascii="Times New Roman" w:hAnsi="Times New Roman" w:cs="Times New Roman"/>
          <w:lang w:val="uk-UA"/>
        </w:rPr>
      </w:pPr>
    </w:p>
    <w:sectPr w:rsidR="00F4306D" w:rsidRPr="00B54AD1" w:rsidSect="00321F94">
      <w:pgSz w:w="11906" w:h="16838"/>
      <w:pgMar w:top="1134" w:right="851" w:bottom="1134" w:left="73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826" w:rsidRDefault="00A15826" w:rsidP="00321F94">
      <w:pPr>
        <w:pStyle w:val="a3"/>
      </w:pPr>
      <w:r>
        <w:separator/>
      </w:r>
    </w:p>
  </w:endnote>
  <w:endnote w:type="continuationSeparator" w:id="0">
    <w:p w:rsidR="00A15826" w:rsidRDefault="00A15826" w:rsidP="00321F94">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826" w:rsidRDefault="00A15826" w:rsidP="00321F94">
      <w:pPr>
        <w:pStyle w:val="a3"/>
      </w:pPr>
      <w:r>
        <w:separator/>
      </w:r>
    </w:p>
  </w:footnote>
  <w:footnote w:type="continuationSeparator" w:id="0">
    <w:p w:rsidR="00A15826" w:rsidRDefault="00A15826" w:rsidP="00321F94">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11E6"/>
    <w:rsid w:val="000552DE"/>
    <w:rsid w:val="00072A00"/>
    <w:rsid w:val="000A7B92"/>
    <w:rsid w:val="000B6AB6"/>
    <w:rsid w:val="000E47F0"/>
    <w:rsid w:val="000F7A14"/>
    <w:rsid w:val="001054FD"/>
    <w:rsid w:val="00121E99"/>
    <w:rsid w:val="0012713B"/>
    <w:rsid w:val="00164DFE"/>
    <w:rsid w:val="00165BC5"/>
    <w:rsid w:val="001743EA"/>
    <w:rsid w:val="001A5790"/>
    <w:rsid w:val="001B4B55"/>
    <w:rsid w:val="001D0629"/>
    <w:rsid w:val="001D40F0"/>
    <w:rsid w:val="001F24FA"/>
    <w:rsid w:val="00216ED0"/>
    <w:rsid w:val="002A24FC"/>
    <w:rsid w:val="00321F94"/>
    <w:rsid w:val="0035307F"/>
    <w:rsid w:val="003758BE"/>
    <w:rsid w:val="003955E8"/>
    <w:rsid w:val="003B55A5"/>
    <w:rsid w:val="003E5FB8"/>
    <w:rsid w:val="00410533"/>
    <w:rsid w:val="004176CF"/>
    <w:rsid w:val="00436165"/>
    <w:rsid w:val="0045703A"/>
    <w:rsid w:val="00474C49"/>
    <w:rsid w:val="004B1C1F"/>
    <w:rsid w:val="004C3753"/>
    <w:rsid w:val="004C7498"/>
    <w:rsid w:val="004E4C22"/>
    <w:rsid w:val="005263C5"/>
    <w:rsid w:val="005E1FF5"/>
    <w:rsid w:val="005F58CD"/>
    <w:rsid w:val="006B43BF"/>
    <w:rsid w:val="006C5EC2"/>
    <w:rsid w:val="006D7F84"/>
    <w:rsid w:val="007070EC"/>
    <w:rsid w:val="007176BB"/>
    <w:rsid w:val="00725B02"/>
    <w:rsid w:val="00725FD1"/>
    <w:rsid w:val="00743933"/>
    <w:rsid w:val="0074524D"/>
    <w:rsid w:val="007A2E48"/>
    <w:rsid w:val="008374B9"/>
    <w:rsid w:val="00864543"/>
    <w:rsid w:val="00890FEB"/>
    <w:rsid w:val="008A05F3"/>
    <w:rsid w:val="00904803"/>
    <w:rsid w:val="00946756"/>
    <w:rsid w:val="00956F5F"/>
    <w:rsid w:val="0095706E"/>
    <w:rsid w:val="009816C0"/>
    <w:rsid w:val="009A217B"/>
    <w:rsid w:val="009A4BED"/>
    <w:rsid w:val="00A15826"/>
    <w:rsid w:val="00A56482"/>
    <w:rsid w:val="00A938BB"/>
    <w:rsid w:val="00AA4ADD"/>
    <w:rsid w:val="00B313B3"/>
    <w:rsid w:val="00B52CA3"/>
    <w:rsid w:val="00B54AD1"/>
    <w:rsid w:val="00B64913"/>
    <w:rsid w:val="00BE075D"/>
    <w:rsid w:val="00BF13E2"/>
    <w:rsid w:val="00C038F1"/>
    <w:rsid w:val="00C62DE9"/>
    <w:rsid w:val="00C74C95"/>
    <w:rsid w:val="00C74EBA"/>
    <w:rsid w:val="00C90867"/>
    <w:rsid w:val="00CB11D3"/>
    <w:rsid w:val="00D14E24"/>
    <w:rsid w:val="00D23F1B"/>
    <w:rsid w:val="00D33AE4"/>
    <w:rsid w:val="00D805FF"/>
    <w:rsid w:val="00E14ADB"/>
    <w:rsid w:val="00E26776"/>
    <w:rsid w:val="00E54998"/>
    <w:rsid w:val="00E5724C"/>
    <w:rsid w:val="00E73C9F"/>
    <w:rsid w:val="00EA7B41"/>
    <w:rsid w:val="00EF30AE"/>
    <w:rsid w:val="00F16F1B"/>
    <w:rsid w:val="00F177B3"/>
    <w:rsid w:val="00F4306D"/>
    <w:rsid w:val="00F53BF1"/>
    <w:rsid w:val="00F60E54"/>
    <w:rsid w:val="00F611E6"/>
    <w:rsid w:val="00F90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7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1E6"/>
    <w:pPr>
      <w:spacing w:after="0" w:line="240" w:lineRule="auto"/>
    </w:pPr>
  </w:style>
  <w:style w:type="table" w:styleId="a4">
    <w:name w:val="Table Grid"/>
    <w:basedOn w:val="a1"/>
    <w:uiPriority w:val="59"/>
    <w:rsid w:val="00321F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321F9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1F94"/>
  </w:style>
  <w:style w:type="paragraph" w:styleId="a7">
    <w:name w:val="footer"/>
    <w:basedOn w:val="a"/>
    <w:link w:val="a8"/>
    <w:uiPriority w:val="99"/>
    <w:semiHidden/>
    <w:unhideWhenUsed/>
    <w:rsid w:val="00321F9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1F94"/>
  </w:style>
  <w:style w:type="character" w:styleId="a9">
    <w:name w:val="Strong"/>
    <w:basedOn w:val="a0"/>
    <w:uiPriority w:val="22"/>
    <w:qFormat/>
    <w:rsid w:val="00EA7B41"/>
    <w:rPr>
      <w:b/>
      <w:bCs/>
    </w:rPr>
  </w:style>
  <w:style w:type="character" w:styleId="aa">
    <w:name w:val="Hyperlink"/>
    <w:basedOn w:val="a0"/>
    <w:uiPriority w:val="99"/>
    <w:unhideWhenUsed/>
    <w:rsid w:val="00EA7B41"/>
    <w:rPr>
      <w:color w:val="0000FF"/>
      <w:u w:val="single"/>
    </w:rPr>
  </w:style>
  <w:style w:type="paragraph" w:customStyle="1" w:styleId="Default">
    <w:name w:val="Default"/>
    <w:rsid w:val="000F7A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
    <w:name w:val="Основной текст (3)_"/>
    <w:link w:val="30"/>
    <w:uiPriority w:val="99"/>
    <w:locked/>
    <w:rsid w:val="00072A00"/>
    <w:rPr>
      <w:b/>
      <w:bCs/>
      <w:sz w:val="28"/>
      <w:szCs w:val="28"/>
      <w:shd w:val="clear" w:color="auto" w:fill="FFFFFF"/>
    </w:rPr>
  </w:style>
  <w:style w:type="paragraph" w:customStyle="1" w:styleId="30">
    <w:name w:val="Основной текст (3)"/>
    <w:basedOn w:val="a"/>
    <w:link w:val="3"/>
    <w:uiPriority w:val="99"/>
    <w:rsid w:val="00072A00"/>
    <w:pPr>
      <w:widowControl w:val="0"/>
      <w:shd w:val="clear" w:color="auto" w:fill="FFFFFF"/>
      <w:spacing w:after="540" w:line="571" w:lineRule="exact"/>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2063</Words>
  <Characters>1176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Admin</cp:lastModifiedBy>
  <cp:revision>68</cp:revision>
  <dcterms:created xsi:type="dcterms:W3CDTF">2019-11-15T19:12:00Z</dcterms:created>
  <dcterms:modified xsi:type="dcterms:W3CDTF">2019-11-18T12:52:00Z</dcterms:modified>
</cp:coreProperties>
</file>